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5202" w:rsidRPr="00F56A18" w:rsidRDefault="00905202" w:rsidP="00F56A18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Hlk4639558"/>
      <w:r w:rsidRPr="00F56A18">
        <w:rPr>
          <w:rFonts w:ascii="Arial" w:hAnsi="Arial" w:cs="Arial"/>
          <w:b/>
          <w:bCs/>
          <w:sz w:val="22"/>
        </w:rPr>
        <w:t>3GPP TSG RAN WG4 Meeting #9</w:t>
      </w:r>
      <w:r w:rsidR="000D2FE2">
        <w:rPr>
          <w:rFonts w:ascii="Arial" w:hAnsi="Arial" w:cs="Arial"/>
          <w:b/>
          <w:bCs/>
          <w:sz w:val="22"/>
        </w:rPr>
        <w:t>1</w:t>
      </w:r>
      <w:r w:rsidRPr="00F56A18">
        <w:rPr>
          <w:rFonts w:ascii="Arial" w:hAnsi="Arial" w:cs="Arial" w:hint="eastAsia"/>
          <w:b/>
          <w:bCs/>
          <w:sz w:val="22"/>
        </w:rPr>
        <w:tab/>
      </w:r>
      <w:r w:rsidRPr="00F56A18">
        <w:rPr>
          <w:rFonts w:ascii="Arial" w:hAnsi="Arial" w:cs="Arial"/>
          <w:b/>
          <w:bCs/>
          <w:sz w:val="22"/>
        </w:rPr>
        <w:t>R4-19</w:t>
      </w:r>
      <w:r w:rsidR="00DE0F87">
        <w:rPr>
          <w:rFonts w:ascii="Arial" w:hAnsi="Arial" w:cs="Arial"/>
          <w:b/>
          <w:bCs/>
          <w:sz w:val="22"/>
        </w:rPr>
        <w:t>0</w:t>
      </w:r>
      <w:r w:rsidR="00FE5864">
        <w:rPr>
          <w:rFonts w:ascii="Arial" w:hAnsi="Arial" w:cs="Arial"/>
          <w:b/>
          <w:bCs/>
          <w:sz w:val="22"/>
        </w:rPr>
        <w:t>7656</w:t>
      </w:r>
    </w:p>
    <w:p w:rsidR="00905202" w:rsidRPr="000D2FE2" w:rsidRDefault="000D2FE2" w:rsidP="000D2FE2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0D2FE2">
        <w:rPr>
          <w:rFonts w:ascii="Arial" w:hAnsi="Arial" w:cs="Arial"/>
          <w:b/>
          <w:bCs/>
          <w:sz w:val="22"/>
        </w:rPr>
        <w:t>Reno, US, 13</w:t>
      </w:r>
      <w:r w:rsidRPr="00DF3EFA">
        <w:rPr>
          <w:rFonts w:ascii="Arial" w:hAnsi="Arial" w:cs="Arial"/>
          <w:b/>
          <w:bCs/>
          <w:sz w:val="22"/>
          <w:vertAlign w:val="superscript"/>
        </w:rPr>
        <w:t>th</w:t>
      </w:r>
      <w:r w:rsidR="00DF3EFA">
        <w:rPr>
          <w:rFonts w:ascii="Arial" w:hAnsi="Arial" w:cs="Arial"/>
          <w:b/>
          <w:bCs/>
          <w:sz w:val="22"/>
        </w:rPr>
        <w:t xml:space="preserve"> </w:t>
      </w:r>
      <w:r w:rsidRPr="000D2FE2">
        <w:rPr>
          <w:rFonts w:ascii="Arial" w:hAnsi="Arial" w:cs="Arial"/>
          <w:b/>
          <w:bCs/>
          <w:sz w:val="22"/>
        </w:rPr>
        <w:t>– 17</w:t>
      </w:r>
      <w:r w:rsidRPr="00DF3EFA">
        <w:rPr>
          <w:rFonts w:ascii="Arial" w:hAnsi="Arial" w:cs="Arial"/>
          <w:b/>
          <w:bCs/>
          <w:sz w:val="22"/>
          <w:vertAlign w:val="superscript"/>
        </w:rPr>
        <w:t>th</w:t>
      </w:r>
      <w:r w:rsidRPr="000D2FE2">
        <w:rPr>
          <w:rFonts w:ascii="Arial" w:hAnsi="Arial" w:cs="Arial"/>
          <w:b/>
          <w:bCs/>
          <w:sz w:val="22"/>
        </w:rPr>
        <w:t xml:space="preserve"> </w:t>
      </w:r>
      <w:proofErr w:type="gramStart"/>
      <w:r w:rsidRPr="000D2FE2">
        <w:rPr>
          <w:rFonts w:ascii="Arial" w:hAnsi="Arial" w:cs="Arial"/>
          <w:b/>
          <w:bCs/>
          <w:sz w:val="22"/>
        </w:rPr>
        <w:t>May,</w:t>
      </w:r>
      <w:proofErr w:type="gramEnd"/>
      <w:r w:rsidRPr="000D2FE2">
        <w:rPr>
          <w:rFonts w:ascii="Arial" w:hAnsi="Arial" w:cs="Arial"/>
          <w:b/>
          <w:bCs/>
          <w:sz w:val="22"/>
        </w:rPr>
        <w:t xml:space="preserve"> 2019</w:t>
      </w:r>
    </w:p>
    <w:bookmarkEnd w:id="0"/>
    <w:p w:rsidR="00905202" w:rsidRPr="00F56A18" w:rsidRDefault="00905202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56A18" w:rsidRPr="00F56A18">
        <w:rPr>
          <w:rFonts w:ascii="Arial" w:hAnsi="Arial" w:cs="Arial"/>
          <w:b/>
          <w:color w:val="FF0000"/>
        </w:rPr>
        <w:t xml:space="preserve">Draft </w:t>
      </w:r>
      <w:r w:rsidR="00F56A18" w:rsidRPr="00F56A18">
        <w:rPr>
          <w:rFonts w:ascii="Arial" w:hAnsi="Arial" w:cs="Arial"/>
          <w:bCs/>
        </w:rPr>
        <w:t xml:space="preserve">Response </w:t>
      </w:r>
      <w:r w:rsidR="00A8524C" w:rsidRPr="00F56A18">
        <w:rPr>
          <w:rFonts w:ascii="Arial" w:hAnsi="Arial" w:cs="Arial"/>
          <w:bCs/>
        </w:rPr>
        <w:t>L</w:t>
      </w:r>
      <w:r w:rsidR="00A1443B">
        <w:rPr>
          <w:rFonts w:ascii="Arial" w:hAnsi="Arial" w:cs="Arial"/>
          <w:bCs/>
        </w:rPr>
        <w:t>S on</w:t>
      </w:r>
      <w:r w:rsidR="00A65DE1">
        <w:rPr>
          <w:rFonts w:ascii="Arial" w:hAnsi="Arial" w:cs="Arial"/>
          <w:bCs/>
        </w:rPr>
        <w:t xml:space="preserve"> UL sharing applicability</w:t>
      </w:r>
      <w:r w:rsidR="001F5D39">
        <w:rPr>
          <w:rFonts w:ascii="Arial" w:hAnsi="Arial" w:cs="Arial"/>
          <w:bCs/>
        </w:rPr>
        <w:t xml:space="preserve"> in different scenarios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BE1F84" w:rsidRPr="00BE1F84">
        <w:rPr>
          <w:rFonts w:ascii="Arial" w:hAnsi="Arial" w:cs="Arial"/>
          <w:bCs/>
          <w:lang w:val="en-US"/>
        </w:rPr>
        <w:t>NR_newRAT</w:t>
      </w:r>
      <w:proofErr w:type="spellEnd"/>
      <w:r w:rsidR="00247BE7">
        <w:rPr>
          <w:rFonts w:ascii="Arial" w:hAnsi="Arial" w:cs="Arial"/>
          <w:bCs/>
          <w:lang w:val="en-US"/>
        </w:rPr>
        <w:t>-Core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proofErr w:type="gramStart"/>
      <w:r w:rsidR="00F56A18">
        <w:rPr>
          <w:rFonts w:ascii="Arial" w:hAnsi="Arial" w:cs="Arial"/>
          <w:bCs/>
        </w:rPr>
        <w:t>Nokia  (</w:t>
      </w:r>
      <w:proofErr w:type="gramEnd"/>
      <w:r w:rsidR="00A8524C" w:rsidRPr="00D64D96">
        <w:rPr>
          <w:rFonts w:ascii="Arial" w:hAnsi="Arial" w:cs="Arial"/>
          <w:bCs/>
        </w:rPr>
        <w:t>TSG RAN WG</w:t>
      </w:r>
      <w:r w:rsidR="00F56A18">
        <w:rPr>
          <w:rFonts w:ascii="Arial" w:hAnsi="Arial" w:cs="Arial"/>
          <w:bCs/>
        </w:rPr>
        <w:t>4)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247BE7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F56A18">
        <w:rPr>
          <w:rFonts w:ascii="Arial" w:hAnsi="Arial" w:cs="Arial"/>
          <w:bCs/>
        </w:rPr>
        <w:t>2</w:t>
      </w:r>
    </w:p>
    <w:p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56A18">
        <w:rPr>
          <w:rFonts w:ascii="Arial" w:hAnsi="Arial" w:cs="Arial"/>
          <w:bCs/>
        </w:rPr>
        <w:t>TSG RAN WG1</w:t>
      </w:r>
      <w:r w:rsidR="004F4C40">
        <w:rPr>
          <w:rFonts w:ascii="Arial" w:hAnsi="Arial" w:cs="Arial"/>
          <w:bCs/>
        </w:rPr>
        <w:t>, TSG RAN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FF564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F5644">
        <w:rPr>
          <w:rFonts w:cs="Arial"/>
        </w:rPr>
        <w:t>Name:</w:t>
      </w:r>
      <w:r w:rsidRPr="00FF5644">
        <w:rPr>
          <w:rFonts w:cs="Arial"/>
          <w:b w:val="0"/>
          <w:bCs/>
        </w:rPr>
        <w:tab/>
      </w:r>
      <w:r w:rsidR="00247BE7" w:rsidRPr="00FF5644">
        <w:rPr>
          <w:rFonts w:cs="Arial"/>
          <w:b w:val="0"/>
          <w:bCs/>
        </w:rPr>
        <w:t>T</w:t>
      </w:r>
      <w:r w:rsidR="00F56A18" w:rsidRPr="00FF5644">
        <w:rPr>
          <w:rFonts w:cs="Arial"/>
          <w:b w:val="0"/>
          <w:bCs/>
        </w:rPr>
        <w:t>oni Lähteensuo</w:t>
      </w:r>
    </w:p>
    <w:p w:rsidR="00463675" w:rsidRPr="00FF564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F5644">
        <w:rPr>
          <w:rFonts w:cs="Arial"/>
        </w:rPr>
        <w:t>E-mail Address:</w:t>
      </w:r>
      <w:r w:rsidRPr="00FF5644">
        <w:rPr>
          <w:rFonts w:cs="Arial"/>
          <w:b w:val="0"/>
          <w:bCs/>
        </w:rPr>
        <w:tab/>
      </w:r>
      <w:r w:rsidR="00F56A18" w:rsidRPr="00FF5644">
        <w:rPr>
          <w:rFonts w:cs="Arial"/>
          <w:b w:val="0"/>
          <w:bCs/>
        </w:rPr>
        <w:t>toni.h.lahteensuo@nokia.com</w:t>
      </w:r>
    </w:p>
    <w:p w:rsidR="00463675" w:rsidRPr="00FF56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C4A54" w:rsidRPr="00F56A18" w:rsidRDefault="00247BE7" w:rsidP="00F56A18">
      <w:pPr>
        <w:pStyle w:val="Header"/>
        <w:spacing w:after="120"/>
        <w:rPr>
          <w:rFonts w:ascii="Arial" w:hAnsi="Arial" w:cs="Arial"/>
          <w:lang w:val="en-US"/>
        </w:rPr>
      </w:pPr>
      <w:r w:rsidRPr="00F56A18">
        <w:rPr>
          <w:rFonts w:ascii="Arial" w:hAnsi="Arial" w:cs="Arial"/>
          <w:lang w:val="en-US"/>
        </w:rPr>
        <w:t>RAN</w:t>
      </w:r>
      <w:r w:rsidR="00F56A18" w:rsidRPr="00F56A18">
        <w:rPr>
          <w:rFonts w:ascii="Arial" w:hAnsi="Arial" w:cs="Arial"/>
          <w:lang w:val="en-US"/>
        </w:rPr>
        <w:t>4 has discussed RAN2’s questions on</w:t>
      </w:r>
      <w:r w:rsidRPr="00F56A18">
        <w:rPr>
          <w:rFonts w:ascii="Arial" w:hAnsi="Arial" w:cs="Arial"/>
          <w:lang w:val="en-US"/>
        </w:rPr>
        <w:t xml:space="preserve"> UE capabilities for UL </w:t>
      </w:r>
      <w:r w:rsidR="00F56A18" w:rsidRPr="00F56A18">
        <w:rPr>
          <w:rFonts w:ascii="Arial" w:hAnsi="Arial" w:cs="Arial"/>
          <w:lang w:val="en-US"/>
        </w:rPr>
        <w:t xml:space="preserve">and DL E-UTRA – NR carrier </w:t>
      </w:r>
      <w:r w:rsidRPr="00F56A18">
        <w:rPr>
          <w:rFonts w:ascii="Arial" w:hAnsi="Arial" w:cs="Arial"/>
          <w:lang w:val="en-US"/>
        </w:rPr>
        <w:t>sharing</w:t>
      </w:r>
      <w:r w:rsidR="00F56A18" w:rsidRPr="00F56A18">
        <w:rPr>
          <w:rFonts w:ascii="Arial" w:hAnsi="Arial" w:cs="Arial"/>
          <w:lang w:val="en-US"/>
        </w:rPr>
        <w:t xml:space="preserve"> and intra-band EN-DC E-UTRA – NR switching times. RAN4 would like to provide the following answers to the questions addressed to RAN4.</w:t>
      </w:r>
    </w:p>
    <w:p w:rsidR="00520344" w:rsidRPr="00520344" w:rsidRDefault="00520344" w:rsidP="009A7577">
      <w:pPr>
        <w:pStyle w:val="Header"/>
        <w:numPr>
          <w:ilvl w:val="0"/>
          <w:numId w:val="22"/>
        </w:numPr>
        <w:spacing w:after="120"/>
        <w:ind w:left="357" w:hanging="35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and 6. Is the shared E-UTRA-NR FDD carrier supported in RAN4, i.e. the case where both FDD DL carrier and FDD UL carrier are shared from UE perspective by E-UTRA and NR? </w:t>
      </w:r>
      <w:r w:rsidRPr="00520344">
        <w:rPr>
          <w:rFonts w:ascii="Arial" w:hAnsi="Arial" w:cs="Arial"/>
          <w:lang w:val="en-US"/>
        </w:rPr>
        <w:t>Does the UL sharing from UE perspective need to be supported together with any DL sharing capabilities that are required the shared E-UTRA-NR FDD carrier case?</w:t>
      </w:r>
    </w:p>
    <w:p w:rsidR="00DF00EE" w:rsidRDefault="00520344" w:rsidP="00DF00EE">
      <w:pPr>
        <w:pStyle w:val="Header"/>
        <w:spacing w:after="120"/>
        <w:ind w:left="720"/>
        <w:rPr>
          <w:rFonts w:ascii="Arial" w:hAnsi="Arial" w:cs="Arial"/>
        </w:rPr>
      </w:pPr>
      <w:r w:rsidRPr="00520344">
        <w:rPr>
          <w:rFonts w:ascii="Arial" w:hAnsi="Arial" w:cs="Arial"/>
          <w:b/>
        </w:rPr>
        <w:t>RAN4 Answer:</w:t>
      </w:r>
      <w:r>
        <w:rPr>
          <w:rFonts w:ascii="Arial" w:hAnsi="Arial" w:cs="Arial"/>
        </w:rPr>
        <w:t xml:space="preserve"> </w:t>
      </w:r>
      <w:r w:rsidR="00D412A9">
        <w:rPr>
          <w:rFonts w:ascii="Arial" w:hAnsi="Arial" w:cs="Arial"/>
        </w:rPr>
        <w:t>NR and LTE co-exist</w:t>
      </w:r>
      <w:r w:rsidR="00FE5864">
        <w:rPr>
          <w:rFonts w:ascii="Arial" w:hAnsi="Arial" w:cs="Arial"/>
        </w:rPr>
        <w:t>e</w:t>
      </w:r>
      <w:r w:rsidR="00D412A9">
        <w:rPr>
          <w:rFonts w:ascii="Arial" w:hAnsi="Arial" w:cs="Arial"/>
        </w:rPr>
        <w:t xml:space="preserve">nce scenarios </w:t>
      </w:r>
      <w:r w:rsidR="005A0067">
        <w:rPr>
          <w:rFonts w:ascii="Arial" w:hAnsi="Arial" w:cs="Arial"/>
        </w:rPr>
        <w:t>are</w:t>
      </w:r>
      <w:r w:rsidR="00D412A9">
        <w:rPr>
          <w:rFonts w:ascii="Arial" w:hAnsi="Arial" w:cs="Arial"/>
        </w:rPr>
        <w:t xml:space="preserve"> in scope of NR WID</w:t>
      </w:r>
      <w:r w:rsidR="00FF5644">
        <w:rPr>
          <w:rFonts w:ascii="Arial" w:hAnsi="Arial" w:cs="Arial"/>
        </w:rPr>
        <w:t>.</w:t>
      </w:r>
      <w:r w:rsidR="00D412A9">
        <w:rPr>
          <w:rFonts w:ascii="Arial" w:hAnsi="Arial" w:cs="Arial"/>
        </w:rPr>
        <w:t xml:space="preserve"> </w:t>
      </w:r>
      <w:r w:rsidR="005A1E18" w:rsidRPr="005A1E18">
        <w:rPr>
          <w:rFonts w:ascii="Arial" w:hAnsi="Arial" w:cs="Arial"/>
        </w:rPr>
        <w:t xml:space="preserve">RAN4 has not </w:t>
      </w:r>
      <w:r w:rsidR="00577EFC">
        <w:rPr>
          <w:rFonts w:ascii="Arial" w:hAnsi="Arial" w:cs="Arial"/>
        </w:rPr>
        <w:t xml:space="preserve">yet </w:t>
      </w:r>
      <w:r w:rsidR="005A1E18" w:rsidRPr="005A1E18">
        <w:rPr>
          <w:rFonts w:ascii="Arial" w:hAnsi="Arial" w:cs="Arial"/>
        </w:rPr>
        <w:t>defined any intra-band EN-DC FDD band combinations</w:t>
      </w:r>
      <w:r w:rsidR="00577EFC">
        <w:rPr>
          <w:rFonts w:ascii="Arial" w:hAnsi="Arial" w:cs="Arial"/>
        </w:rPr>
        <w:t xml:space="preserve"> for DL carrier sharing from UE perspective</w:t>
      </w:r>
      <w:r w:rsidR="009B349D">
        <w:rPr>
          <w:rFonts w:ascii="Arial" w:hAnsi="Arial" w:cs="Arial"/>
        </w:rPr>
        <w:t>. Introduction of such combinations</w:t>
      </w:r>
      <w:r>
        <w:rPr>
          <w:rFonts w:ascii="Arial" w:hAnsi="Arial" w:cs="Arial"/>
        </w:rPr>
        <w:t xml:space="preserve"> and</w:t>
      </w:r>
      <w:r w:rsidR="009B349D">
        <w:rPr>
          <w:rFonts w:ascii="Arial" w:hAnsi="Arial" w:cs="Arial"/>
        </w:rPr>
        <w:t xml:space="preserve"> their release independence </w:t>
      </w:r>
      <w:r>
        <w:rPr>
          <w:rFonts w:ascii="Arial" w:hAnsi="Arial" w:cs="Arial"/>
        </w:rPr>
        <w:t>are FFS</w:t>
      </w:r>
      <w:r w:rsidR="00D412A9">
        <w:rPr>
          <w:rFonts w:ascii="Arial" w:hAnsi="Arial" w:cs="Arial"/>
        </w:rPr>
        <w:t>, but there are discussions pending on SDL+SUL pairing for which sharing for FDD band would be needed</w:t>
      </w:r>
      <w:r>
        <w:rPr>
          <w:rFonts w:ascii="Arial" w:hAnsi="Arial" w:cs="Arial"/>
        </w:rPr>
        <w:t xml:space="preserve">. </w:t>
      </w:r>
      <w:r w:rsidR="009A7577">
        <w:rPr>
          <w:rFonts w:ascii="Arial" w:hAnsi="Arial" w:cs="Arial"/>
        </w:rPr>
        <w:t>Possible</w:t>
      </w:r>
      <w:r w:rsidR="00577EFC">
        <w:rPr>
          <w:rFonts w:ascii="Arial" w:hAnsi="Arial" w:cs="Arial"/>
        </w:rPr>
        <w:t xml:space="preserve"> new requirements </w:t>
      </w:r>
      <w:r w:rsidR="009A7577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</w:t>
      </w:r>
      <w:r w:rsidR="009B349D">
        <w:rPr>
          <w:rFonts w:ascii="Arial" w:hAnsi="Arial" w:cs="Arial"/>
        </w:rPr>
        <w:t>FFS.</w:t>
      </w:r>
      <w:r w:rsidR="00D07C9C">
        <w:rPr>
          <w:rFonts w:ascii="Arial" w:hAnsi="Arial" w:cs="Arial"/>
        </w:rPr>
        <w:t xml:space="preserve"> </w:t>
      </w:r>
      <w:r w:rsidR="00AC7BBC">
        <w:rPr>
          <w:rFonts w:ascii="Arial" w:hAnsi="Arial" w:cs="Arial"/>
        </w:rPr>
        <w:t>The</w:t>
      </w:r>
      <w:r w:rsidR="006A1FAA">
        <w:rPr>
          <w:rFonts w:ascii="Arial" w:hAnsi="Arial" w:cs="Arial"/>
        </w:rPr>
        <w:t xml:space="preserve"> existing </w:t>
      </w:r>
      <w:r w:rsidR="00C65DEC">
        <w:rPr>
          <w:rFonts w:ascii="Arial" w:hAnsi="Arial" w:cs="Arial"/>
        </w:rPr>
        <w:t xml:space="preserve">minimum </w:t>
      </w:r>
      <w:r w:rsidR="00AC7BBC">
        <w:rPr>
          <w:rFonts w:ascii="Arial" w:hAnsi="Arial" w:cs="Arial"/>
        </w:rPr>
        <w:t xml:space="preserve">requirements for ULSUP-TDM </w:t>
      </w:r>
      <w:r w:rsidR="006A1FAA">
        <w:rPr>
          <w:rFonts w:ascii="Arial" w:hAnsi="Arial" w:cs="Arial"/>
        </w:rPr>
        <w:t>are</w:t>
      </w:r>
      <w:r w:rsidR="00AC7BBC">
        <w:rPr>
          <w:rFonts w:ascii="Arial" w:hAnsi="Arial" w:cs="Arial"/>
        </w:rPr>
        <w:t xml:space="preserve"> not dependent on any </w:t>
      </w:r>
      <w:r w:rsidR="00C65DEC">
        <w:rPr>
          <w:rFonts w:ascii="Arial" w:hAnsi="Arial" w:cs="Arial"/>
        </w:rPr>
        <w:t>DL sharing capabilities</w:t>
      </w:r>
      <w:r w:rsidR="00911F88">
        <w:rPr>
          <w:rFonts w:ascii="Arial" w:hAnsi="Arial" w:cs="Arial"/>
        </w:rPr>
        <w:t xml:space="preserve">. </w:t>
      </w:r>
      <w:r w:rsidR="003B23F9">
        <w:rPr>
          <w:rFonts w:ascii="Arial" w:hAnsi="Arial" w:cs="Arial"/>
        </w:rPr>
        <w:t xml:space="preserve">The current </w:t>
      </w:r>
      <w:r w:rsidR="006A1FAA">
        <w:rPr>
          <w:rFonts w:ascii="Arial" w:hAnsi="Arial" w:cs="Arial"/>
        </w:rPr>
        <w:t xml:space="preserve">version of the </w:t>
      </w:r>
      <w:r w:rsidR="003B23F9">
        <w:rPr>
          <w:rFonts w:ascii="Arial" w:hAnsi="Arial" w:cs="Arial"/>
        </w:rPr>
        <w:t xml:space="preserve">specifications </w:t>
      </w:r>
      <w:r w:rsidR="00DF00EE">
        <w:rPr>
          <w:rFonts w:ascii="Arial" w:hAnsi="Arial" w:cs="Arial"/>
        </w:rPr>
        <w:t>only include</w:t>
      </w:r>
      <w:r w:rsidR="00562BE1">
        <w:rPr>
          <w:rFonts w:ascii="Arial" w:hAnsi="Arial" w:cs="Arial"/>
        </w:rPr>
        <w:t>s</w:t>
      </w:r>
      <w:r w:rsidR="00DF00EE">
        <w:rPr>
          <w:rFonts w:ascii="Arial" w:hAnsi="Arial" w:cs="Arial"/>
        </w:rPr>
        <w:t xml:space="preserve"> ULSUP-TDM band combinations with SUL bands, but the said requirements </w:t>
      </w:r>
      <w:r w:rsidR="00562BE1">
        <w:rPr>
          <w:rFonts w:ascii="Arial" w:hAnsi="Arial" w:cs="Arial"/>
        </w:rPr>
        <w:t xml:space="preserve">can be </w:t>
      </w:r>
      <w:r w:rsidR="00DF00EE">
        <w:rPr>
          <w:rFonts w:ascii="Arial" w:hAnsi="Arial" w:cs="Arial"/>
        </w:rPr>
        <w:t>appl</w:t>
      </w:r>
      <w:r w:rsidR="00562BE1">
        <w:rPr>
          <w:rFonts w:ascii="Arial" w:hAnsi="Arial" w:cs="Arial"/>
        </w:rPr>
        <w:t>ied also</w:t>
      </w:r>
      <w:r w:rsidR="00DF00EE">
        <w:rPr>
          <w:rFonts w:ascii="Arial" w:hAnsi="Arial" w:cs="Arial"/>
        </w:rPr>
        <w:t xml:space="preserve"> to a normal UL o</w:t>
      </w:r>
      <w:r w:rsidR="004D44EC">
        <w:rPr>
          <w:rFonts w:ascii="Arial" w:hAnsi="Arial" w:cs="Arial"/>
        </w:rPr>
        <w:t>f</w:t>
      </w:r>
      <w:r w:rsidR="00DF00EE">
        <w:rPr>
          <w:rFonts w:ascii="Arial" w:hAnsi="Arial" w:cs="Arial"/>
        </w:rPr>
        <w:t xml:space="preserve"> an FDD band,</w:t>
      </w:r>
    </w:p>
    <w:p w:rsidR="00DF00EE" w:rsidRPr="00FF5644" w:rsidRDefault="00DF00EE" w:rsidP="00DF00EE">
      <w:pPr>
        <w:pStyle w:val="Header"/>
        <w:spacing w:after="120"/>
        <w:ind w:left="720"/>
        <w:rPr>
          <w:rFonts w:ascii="Arial" w:hAnsi="Arial" w:cs="Arial"/>
        </w:rPr>
      </w:pPr>
      <w:r w:rsidRPr="00FF5644">
        <w:rPr>
          <w:rFonts w:ascii="Arial" w:hAnsi="Arial" w:cs="Arial"/>
        </w:rPr>
        <w:t>RAN</w:t>
      </w:r>
      <w:r>
        <w:rPr>
          <w:rFonts w:ascii="Arial" w:hAnsi="Arial" w:cs="Arial"/>
        </w:rPr>
        <w:t xml:space="preserve">4 is currently </w:t>
      </w:r>
      <w:r w:rsidR="00DD7A43">
        <w:rPr>
          <w:rFonts w:ascii="Arial" w:hAnsi="Arial" w:cs="Arial"/>
        </w:rPr>
        <w:t xml:space="preserve">discussing the definition of </w:t>
      </w:r>
      <w:r w:rsidR="009210E5">
        <w:rPr>
          <w:rFonts w:ascii="Arial" w:hAnsi="Arial" w:cs="Arial"/>
        </w:rPr>
        <w:t xml:space="preserve">paring of </w:t>
      </w:r>
      <w:r w:rsidR="00DD7A43">
        <w:rPr>
          <w:rFonts w:ascii="Arial" w:hAnsi="Arial" w:cs="Arial"/>
        </w:rPr>
        <w:t>SDL as either an</w:t>
      </w:r>
      <w:r w:rsidR="009210E5">
        <w:rPr>
          <w:rFonts w:ascii="Arial" w:hAnsi="Arial" w:cs="Arial"/>
        </w:rPr>
        <w:t xml:space="preserve"> FDD band or an SDL/SUL combination. </w:t>
      </w:r>
      <w:r w:rsidR="007A59E2">
        <w:rPr>
          <w:rFonts w:ascii="Arial" w:hAnsi="Arial" w:cs="Arial"/>
        </w:rPr>
        <w:t>Such an</w:t>
      </w:r>
      <w:r w:rsidR="001F65F1">
        <w:rPr>
          <w:rFonts w:ascii="Arial" w:hAnsi="Arial" w:cs="Arial"/>
        </w:rPr>
        <w:t xml:space="preserve"> FDD band </w:t>
      </w:r>
      <w:r w:rsidR="007A59E2">
        <w:rPr>
          <w:rFonts w:ascii="Arial" w:hAnsi="Arial" w:cs="Arial"/>
        </w:rPr>
        <w:t xml:space="preserve">would </w:t>
      </w:r>
      <w:r w:rsidR="00787D60">
        <w:rPr>
          <w:rFonts w:ascii="Arial" w:hAnsi="Arial" w:cs="Arial"/>
        </w:rPr>
        <w:t>s</w:t>
      </w:r>
      <w:r w:rsidR="007A59E2">
        <w:rPr>
          <w:rFonts w:ascii="Arial" w:hAnsi="Arial" w:cs="Arial"/>
        </w:rPr>
        <w:t>hare</w:t>
      </w:r>
      <w:r w:rsidR="002934A3">
        <w:rPr>
          <w:rFonts w:ascii="Arial" w:hAnsi="Arial" w:cs="Arial"/>
        </w:rPr>
        <w:t xml:space="preserve"> its</w:t>
      </w:r>
      <w:r w:rsidR="007A59E2">
        <w:rPr>
          <w:rFonts w:ascii="Arial" w:hAnsi="Arial" w:cs="Arial"/>
        </w:rPr>
        <w:t xml:space="preserve"> UL </w:t>
      </w:r>
      <w:r w:rsidR="002934A3">
        <w:rPr>
          <w:rFonts w:ascii="Arial" w:hAnsi="Arial" w:cs="Arial"/>
        </w:rPr>
        <w:t xml:space="preserve">with the uplink </w:t>
      </w:r>
      <w:r w:rsidR="007A59E2">
        <w:rPr>
          <w:rFonts w:ascii="Arial" w:hAnsi="Arial" w:cs="Arial"/>
        </w:rPr>
        <w:t xml:space="preserve">of another FDD band and </w:t>
      </w:r>
      <w:r w:rsidR="001F65F1">
        <w:rPr>
          <w:rFonts w:ascii="Arial" w:hAnsi="Arial" w:cs="Arial"/>
        </w:rPr>
        <w:t xml:space="preserve">the </w:t>
      </w:r>
      <w:r w:rsidR="007A59E2">
        <w:rPr>
          <w:rFonts w:ascii="Arial" w:hAnsi="Arial" w:cs="Arial"/>
        </w:rPr>
        <w:t xml:space="preserve">current </w:t>
      </w:r>
      <w:r w:rsidR="001F65F1">
        <w:rPr>
          <w:rFonts w:ascii="Arial" w:hAnsi="Arial" w:cs="Arial"/>
        </w:rPr>
        <w:t xml:space="preserve">ULSUP-TDM </w:t>
      </w:r>
      <w:r w:rsidR="008A49A1">
        <w:rPr>
          <w:rFonts w:ascii="Arial" w:hAnsi="Arial" w:cs="Arial"/>
        </w:rPr>
        <w:t xml:space="preserve">requirement </w:t>
      </w:r>
      <w:r w:rsidR="002934A3">
        <w:rPr>
          <w:rFonts w:ascii="Arial" w:hAnsi="Arial" w:cs="Arial"/>
        </w:rPr>
        <w:t>would</w:t>
      </w:r>
      <w:r w:rsidR="001F65F1">
        <w:rPr>
          <w:rFonts w:ascii="Arial" w:hAnsi="Arial" w:cs="Arial"/>
        </w:rPr>
        <w:t xml:space="preserve"> apply.</w:t>
      </w:r>
    </w:p>
    <w:p w:rsidR="00520344" w:rsidRDefault="002A5731" w:rsidP="002A5731">
      <w:pPr>
        <w:pStyle w:val="Header"/>
        <w:spacing w:after="120"/>
        <w:ind w:left="357" w:hanging="35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8 and 9. </w:t>
      </w:r>
      <w:r w:rsidR="00520344">
        <w:rPr>
          <w:rFonts w:ascii="Arial" w:hAnsi="Arial" w:cs="Arial"/>
          <w:lang w:val="en-US"/>
        </w:rPr>
        <w:t xml:space="preserve">How should RAN2 refer to RAN4 specification to indicate conditions when UE is required to support </w:t>
      </w:r>
      <w:r w:rsidR="00520344">
        <w:rPr>
          <w:rFonts w:ascii="Arial" w:hAnsi="Arial" w:cs="Arial"/>
          <w:i/>
          <w:lang w:val="en-US"/>
        </w:rPr>
        <w:t>ul-</w:t>
      </w:r>
      <w:proofErr w:type="spellStart"/>
      <w:r w:rsidR="00520344">
        <w:rPr>
          <w:rFonts w:ascii="Arial" w:hAnsi="Arial" w:cs="Arial"/>
          <w:i/>
          <w:lang w:val="en-US"/>
        </w:rPr>
        <w:t>SwitchingTimeEUTRA</w:t>
      </w:r>
      <w:proofErr w:type="spellEnd"/>
      <w:r w:rsidR="00520344">
        <w:rPr>
          <w:rFonts w:ascii="Arial" w:hAnsi="Arial" w:cs="Arial"/>
          <w:i/>
          <w:lang w:val="en-US"/>
        </w:rPr>
        <w:t>-NR</w:t>
      </w:r>
      <w:r w:rsidR="00520344">
        <w:rPr>
          <w:rFonts w:ascii="Arial" w:hAnsi="Arial" w:cs="Arial"/>
          <w:lang w:val="en-US"/>
        </w:rPr>
        <w:t xml:space="preserve">? Specifically, does the </w:t>
      </w:r>
      <w:r w:rsidR="00520344">
        <w:rPr>
          <w:rFonts w:ascii="Arial" w:hAnsi="Arial" w:cs="Arial"/>
          <w:i/>
          <w:lang w:val="en-US"/>
        </w:rPr>
        <w:t>ul-</w:t>
      </w:r>
      <w:proofErr w:type="spellStart"/>
      <w:r w:rsidR="00520344">
        <w:rPr>
          <w:rFonts w:ascii="Arial" w:hAnsi="Arial" w:cs="Arial"/>
          <w:i/>
          <w:lang w:val="en-US"/>
        </w:rPr>
        <w:t>SwitchingTimeEUTRA</w:t>
      </w:r>
      <w:proofErr w:type="spellEnd"/>
      <w:r w:rsidR="00520344">
        <w:rPr>
          <w:rFonts w:ascii="Arial" w:hAnsi="Arial" w:cs="Arial"/>
          <w:i/>
          <w:lang w:val="en-US"/>
        </w:rPr>
        <w:t>-NR</w:t>
      </w:r>
      <w:r w:rsidR="00520344">
        <w:rPr>
          <w:rFonts w:ascii="Arial" w:hAnsi="Arial" w:cs="Arial"/>
          <w:lang w:val="en-US"/>
        </w:rPr>
        <w:t xml:space="preserve"> apply to both TDM based E-UTRA-NR in UL sharing from UE perspective and intra-band contiguous scenario in adjacent channels when single UL transmission is allowed between E-UTRA and NR UL?</w:t>
      </w:r>
      <w:r>
        <w:rPr>
          <w:rFonts w:ascii="Arial" w:hAnsi="Arial" w:cs="Arial"/>
          <w:lang w:val="en-US"/>
        </w:rPr>
        <w:t xml:space="preserve"> Is it mandatory for UE to report switching time type for an intra-band contiguous EN-DC band combination via the capability </w:t>
      </w:r>
      <w:r>
        <w:rPr>
          <w:rFonts w:ascii="Arial" w:hAnsi="Arial" w:cs="Arial"/>
          <w:i/>
          <w:lang w:val="en-US"/>
        </w:rPr>
        <w:t>ul-</w:t>
      </w:r>
      <w:proofErr w:type="spellStart"/>
      <w:r>
        <w:rPr>
          <w:rFonts w:ascii="Arial" w:hAnsi="Arial" w:cs="Arial"/>
          <w:i/>
          <w:lang w:val="en-US"/>
        </w:rPr>
        <w:t>SwitchingTimeEUTRA</w:t>
      </w:r>
      <w:proofErr w:type="spellEnd"/>
      <w:r>
        <w:rPr>
          <w:rFonts w:ascii="Arial" w:hAnsi="Arial" w:cs="Arial"/>
          <w:i/>
          <w:lang w:val="en-US"/>
        </w:rPr>
        <w:t>-NR</w:t>
      </w:r>
      <w:r>
        <w:rPr>
          <w:rFonts w:ascii="Arial" w:hAnsi="Arial" w:cs="Arial"/>
          <w:lang w:val="en-US"/>
        </w:rPr>
        <w:t xml:space="preserve"> if UE requires single UL transmission for that band combination?</w:t>
      </w:r>
    </w:p>
    <w:p w:rsidR="00F56A18" w:rsidRPr="00BD2CD9" w:rsidRDefault="00520344" w:rsidP="006C352D">
      <w:pPr>
        <w:pStyle w:val="Header"/>
        <w:spacing w:after="120"/>
        <w:ind w:left="720"/>
        <w:rPr>
          <w:rFonts w:ascii="Arial" w:hAnsi="Arial" w:cs="Arial"/>
        </w:rPr>
      </w:pPr>
      <w:r w:rsidRPr="00520344">
        <w:rPr>
          <w:rFonts w:ascii="Arial" w:hAnsi="Arial" w:cs="Arial"/>
          <w:b/>
        </w:rPr>
        <w:t>RAN4 Answer:</w:t>
      </w:r>
      <w:r>
        <w:rPr>
          <w:rFonts w:ascii="Arial" w:hAnsi="Arial" w:cs="Arial"/>
        </w:rPr>
        <w:t xml:space="preserve"> </w:t>
      </w:r>
      <w:r w:rsidRPr="00BD2CD9">
        <w:rPr>
          <w:rFonts w:ascii="Arial" w:hAnsi="Arial" w:cs="Arial"/>
        </w:rPr>
        <w:t xml:space="preserve"> </w:t>
      </w:r>
      <w:r w:rsidR="00F56A18" w:rsidRPr="00BD2CD9">
        <w:rPr>
          <w:rFonts w:ascii="Arial" w:hAnsi="Arial" w:cs="Arial"/>
        </w:rPr>
        <w:t xml:space="preserve">E-UTRA and NR switching time mask requirements are defined in the sub-sections of Section 6.3 ‘Output power dynamics’ of TS38.101-3. The following three different types of E-UTRA and NR switching time mask requirements are defined in the March 2019 version of TS38.101-3; </w:t>
      </w:r>
      <w:r w:rsidR="00E57BBC">
        <w:rPr>
          <w:rFonts w:ascii="Arial" w:hAnsi="Arial" w:cs="Arial"/>
        </w:rPr>
        <w:t xml:space="preserve">in the current version of the specifications </w:t>
      </w:r>
      <w:r w:rsidR="004E7269" w:rsidRPr="00FF5644">
        <w:rPr>
          <w:rFonts w:ascii="Arial" w:hAnsi="Arial" w:cs="Arial"/>
          <w:i/>
        </w:rPr>
        <w:t>the ul-</w:t>
      </w:r>
      <w:proofErr w:type="spellStart"/>
      <w:r w:rsidR="004E7269" w:rsidRPr="00FF5644">
        <w:rPr>
          <w:rFonts w:ascii="Arial" w:hAnsi="Arial" w:cs="Arial"/>
          <w:i/>
        </w:rPr>
        <w:t>SwitchingTimeEUTRA</w:t>
      </w:r>
      <w:proofErr w:type="spellEnd"/>
      <w:r w:rsidR="004E7269" w:rsidRPr="00FF5644">
        <w:rPr>
          <w:rFonts w:ascii="Arial" w:hAnsi="Arial" w:cs="Arial"/>
          <w:i/>
        </w:rPr>
        <w:t>-NR</w:t>
      </w:r>
      <w:r w:rsidR="004E7269" w:rsidRPr="00FF5644">
        <w:rPr>
          <w:rFonts w:ascii="Arial" w:hAnsi="Arial" w:cs="Arial"/>
        </w:rPr>
        <w:t xml:space="preserve"> is applied to only</w:t>
      </w:r>
      <w:r w:rsidR="00E57BBC" w:rsidRPr="00FF5644">
        <w:rPr>
          <w:rFonts w:ascii="Arial" w:hAnsi="Arial" w:cs="Arial"/>
        </w:rPr>
        <w:t xml:space="preserve"> to the requirements in</w:t>
      </w:r>
      <w:r w:rsidR="004E7269" w:rsidRPr="00FF5644">
        <w:rPr>
          <w:rFonts w:ascii="Arial" w:hAnsi="Arial" w:cs="Arial"/>
        </w:rPr>
        <w:t xml:space="preserve"> section 6.3B.1 TDM based UL sharing from UE perspective according to RAN</w:t>
      </w:r>
      <w:r w:rsidR="004E7269">
        <w:rPr>
          <w:rFonts w:ascii="Arial" w:hAnsi="Arial" w:cs="Arial"/>
          <w:lang w:val="en-US"/>
        </w:rPr>
        <w:t xml:space="preserve"> agreement.</w:t>
      </w:r>
      <w:r w:rsidR="00A70E52">
        <w:rPr>
          <w:rFonts w:ascii="Arial" w:hAnsi="Arial" w:cs="Arial"/>
          <w:lang w:val="en-US"/>
        </w:rPr>
        <w:t xml:space="preserve"> </w:t>
      </w:r>
      <w:r w:rsidR="00A50126">
        <w:rPr>
          <w:rFonts w:ascii="Arial" w:hAnsi="Arial" w:cs="Arial"/>
          <w:lang w:val="en-US"/>
        </w:rPr>
        <w:t>Th</w:t>
      </w:r>
      <w:r w:rsidR="000F3B46">
        <w:rPr>
          <w:rFonts w:ascii="Arial" w:hAnsi="Arial" w:cs="Arial"/>
          <w:lang w:val="en-US"/>
        </w:rPr>
        <w:t>i</w:t>
      </w:r>
      <w:r w:rsidR="00FF29F4">
        <w:rPr>
          <w:rFonts w:ascii="Arial" w:hAnsi="Arial" w:cs="Arial"/>
          <w:lang w:val="en-US"/>
        </w:rPr>
        <w:t>s</w:t>
      </w:r>
      <w:r w:rsidR="00A50126">
        <w:rPr>
          <w:rFonts w:ascii="Arial" w:hAnsi="Arial" w:cs="Arial"/>
          <w:lang w:val="en-US"/>
        </w:rPr>
        <w:t xml:space="preserve"> requirement is specified for ULS</w:t>
      </w:r>
      <w:r w:rsidR="00346D03">
        <w:rPr>
          <w:rFonts w:ascii="Arial" w:hAnsi="Arial" w:cs="Arial"/>
          <w:lang w:val="en-US"/>
        </w:rPr>
        <w:t xml:space="preserve">UP-TDM </w:t>
      </w:r>
      <w:r w:rsidR="00907E41">
        <w:rPr>
          <w:rFonts w:ascii="Arial" w:hAnsi="Arial" w:cs="Arial"/>
          <w:lang w:val="en-US"/>
        </w:rPr>
        <w:t>and can apply to both SUL and a normal UL of an FDD band.</w:t>
      </w:r>
      <w:bookmarkStart w:id="1" w:name="_GoBack"/>
      <w:bookmarkEnd w:id="1"/>
    </w:p>
    <w:p w:rsidR="00F56A18" w:rsidRPr="00BD2CD9" w:rsidRDefault="00F56A18" w:rsidP="006C352D">
      <w:pPr>
        <w:pStyle w:val="Header"/>
        <w:spacing w:after="120"/>
        <w:ind w:left="720"/>
        <w:rPr>
          <w:rFonts w:ascii="Arial" w:hAnsi="Arial" w:cs="Arial"/>
        </w:rPr>
      </w:pPr>
      <w:r w:rsidRPr="00BD2CD9">
        <w:rPr>
          <w:rFonts w:ascii="Arial" w:hAnsi="Arial" w:cs="Arial"/>
        </w:rPr>
        <w:t>6.3B.1</w:t>
      </w:r>
      <w:r w:rsidRPr="00BD2CD9">
        <w:rPr>
          <w:rFonts w:ascii="Arial" w:hAnsi="Arial" w:cs="Arial"/>
        </w:rPr>
        <w:tab/>
        <w:t>Output power dynamics for EN-DC with UL sharing from UE perspective</w:t>
      </w:r>
    </w:p>
    <w:p w:rsidR="00F56A18" w:rsidRPr="00BD2CD9" w:rsidRDefault="00F56A18" w:rsidP="006C352D">
      <w:pPr>
        <w:pStyle w:val="Header"/>
        <w:spacing w:after="120"/>
        <w:ind w:left="720"/>
        <w:rPr>
          <w:rFonts w:ascii="Arial" w:hAnsi="Arial" w:cs="Arial"/>
        </w:rPr>
      </w:pPr>
      <w:r w:rsidRPr="00BD2CD9">
        <w:rPr>
          <w:rFonts w:ascii="Arial" w:hAnsi="Arial" w:cs="Arial"/>
        </w:rPr>
        <w:t>6.3B.2</w:t>
      </w:r>
      <w:r w:rsidRPr="00BD2CD9">
        <w:rPr>
          <w:rFonts w:ascii="Arial" w:hAnsi="Arial" w:cs="Arial"/>
        </w:rPr>
        <w:tab/>
        <w:t>Output power dynamics for intra-band EN-DC without dual PA capability</w:t>
      </w:r>
    </w:p>
    <w:p w:rsidR="00F56A18" w:rsidRPr="00BD2CD9" w:rsidRDefault="00F56A18" w:rsidP="006C352D">
      <w:pPr>
        <w:pStyle w:val="Header"/>
        <w:spacing w:after="120"/>
        <w:ind w:left="720"/>
        <w:rPr>
          <w:rFonts w:ascii="Arial" w:hAnsi="Arial" w:cs="Arial"/>
        </w:rPr>
      </w:pPr>
      <w:r w:rsidRPr="00BD2CD9">
        <w:rPr>
          <w:rFonts w:ascii="Arial" w:hAnsi="Arial" w:cs="Arial"/>
        </w:rPr>
        <w:lastRenderedPageBreak/>
        <w:t>6.3B.3</w:t>
      </w:r>
      <w:r w:rsidRPr="00BD2CD9">
        <w:rPr>
          <w:rFonts w:ascii="Arial" w:hAnsi="Arial" w:cs="Arial"/>
        </w:rPr>
        <w:tab/>
        <w:t>Output power dynamics for intra-band EN-DC with dual PA capability</w:t>
      </w:r>
    </w:p>
    <w:p w:rsidR="002A5731" w:rsidRPr="00FF5644" w:rsidRDefault="00F56A18" w:rsidP="002A5731">
      <w:pPr>
        <w:pStyle w:val="Header"/>
        <w:spacing w:after="120"/>
        <w:ind w:left="720"/>
        <w:rPr>
          <w:rFonts w:ascii="Arial" w:hAnsi="Arial" w:cs="Arial"/>
        </w:rPr>
      </w:pPr>
      <w:r w:rsidRPr="00BD2CD9">
        <w:rPr>
          <w:rFonts w:ascii="Arial" w:hAnsi="Arial" w:cs="Arial"/>
        </w:rPr>
        <w:t xml:space="preserve">In the current version of TS38.101-3 only E-UTRA and NR switching time mask requirements for TDM based UL sharing from the UE perspective are using switching time capabilities; Type 1 and Type 2 for differentiating different UE E-UTRA and NR switching time performances. Different intra-band EN-DC E-UTRA and NR switching time mask requirements are differentiated using dual PA capability. </w:t>
      </w:r>
      <w:r w:rsidR="002A5731">
        <w:rPr>
          <w:rFonts w:ascii="Arial" w:hAnsi="Arial" w:cs="Arial"/>
        </w:rPr>
        <w:t xml:space="preserve">Therefore, in the current version of TS 38.101-3 </w:t>
      </w:r>
      <w:r w:rsidR="002A5731" w:rsidRPr="00FF5644">
        <w:rPr>
          <w:rFonts w:ascii="Arial" w:hAnsi="Arial" w:cs="Arial"/>
        </w:rPr>
        <w:t>UE is not needed to report switching time type for intra-band contiguous EN-DC band combination via the capability ul-</w:t>
      </w:r>
      <w:proofErr w:type="spellStart"/>
      <w:r w:rsidR="002A5731" w:rsidRPr="00FF5644">
        <w:rPr>
          <w:rFonts w:ascii="Arial" w:hAnsi="Arial" w:cs="Arial"/>
        </w:rPr>
        <w:t>SwitchingTimeEUTRA</w:t>
      </w:r>
      <w:proofErr w:type="spellEnd"/>
      <w:r w:rsidR="002A5731" w:rsidRPr="00FF5644">
        <w:rPr>
          <w:rFonts w:ascii="Arial" w:hAnsi="Arial" w:cs="Arial"/>
        </w:rPr>
        <w:t>-NR.</w:t>
      </w:r>
    </w:p>
    <w:p w:rsidR="00247BE7" w:rsidRPr="00FF5644" w:rsidRDefault="00F56A18" w:rsidP="00FF5644">
      <w:pPr>
        <w:pStyle w:val="Header"/>
        <w:spacing w:after="120"/>
        <w:ind w:left="720"/>
        <w:rPr>
          <w:rFonts w:ascii="Arial" w:hAnsi="Arial" w:cs="Arial"/>
        </w:rPr>
      </w:pPr>
      <w:r w:rsidRPr="00BD2CD9">
        <w:rPr>
          <w:rFonts w:ascii="Arial" w:hAnsi="Arial" w:cs="Arial"/>
        </w:rPr>
        <w:t xml:space="preserve">RAN4 </w:t>
      </w:r>
      <w:r w:rsidRPr="00FF5644">
        <w:rPr>
          <w:rFonts w:ascii="Arial" w:hAnsi="Arial" w:cs="Arial"/>
        </w:rPr>
        <w:t>would, however, like to note from the backwards compatibility perspective that in the December 2018 version of TS38.101-3 UE E</w:t>
      </w:r>
      <w:r w:rsidRPr="00BD2CD9">
        <w:rPr>
          <w:rFonts w:ascii="Arial" w:hAnsi="Arial" w:cs="Arial"/>
        </w:rPr>
        <w:t>-UTRA – NR switching time capability Types 1 and 2 were also used for differentiating different intra-band EN-DC E-UTRA and NR switching time mask requirements.</w:t>
      </w:r>
      <w:r w:rsidR="001E3D89">
        <w:rPr>
          <w:rFonts w:ascii="Arial" w:hAnsi="Arial" w:cs="Arial"/>
        </w:rPr>
        <w:t xml:space="preserve"> </w:t>
      </w: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5183D">
        <w:rPr>
          <w:rFonts w:ascii="Arial" w:hAnsi="Arial" w:cs="Arial"/>
          <w:b/>
        </w:rPr>
        <w:t>RAN</w:t>
      </w:r>
      <w:r w:rsidR="00F56A1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:rsidR="0065183D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F56A18">
        <w:rPr>
          <w:rFonts w:ascii="Arial" w:hAnsi="Arial" w:cs="Arial"/>
        </w:rPr>
        <w:t>4</w:t>
      </w:r>
      <w:r w:rsidR="002A6E4C">
        <w:rPr>
          <w:rFonts w:ascii="Arial" w:hAnsi="Arial" w:cs="Arial"/>
        </w:rPr>
        <w:t xml:space="preserve"> respectfully asks </w:t>
      </w:r>
      <w:r w:rsidR="0065183D">
        <w:rPr>
          <w:rFonts w:ascii="Arial" w:hAnsi="Arial" w:cs="Arial"/>
        </w:rPr>
        <w:t>RAN</w:t>
      </w:r>
      <w:r w:rsidR="00F56A18">
        <w:rPr>
          <w:rFonts w:ascii="Arial" w:hAnsi="Arial" w:cs="Arial"/>
        </w:rPr>
        <w:t>2</w:t>
      </w:r>
      <w:r w:rsidR="0065183D">
        <w:rPr>
          <w:rFonts w:ascii="Arial" w:hAnsi="Arial" w:cs="Arial"/>
        </w:rPr>
        <w:t xml:space="preserve"> to </w:t>
      </w:r>
      <w:r w:rsidR="00F56A18">
        <w:rPr>
          <w:rFonts w:ascii="Arial" w:hAnsi="Arial" w:cs="Arial"/>
        </w:rPr>
        <w:t>take the above-mentioned answers into account in its specification work</w:t>
      </w: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E7017E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56A1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6867D2" w:rsidRDefault="00F56A18" w:rsidP="005C7689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</w:t>
      </w:r>
      <w:proofErr w:type="gramStart"/>
      <w:r w:rsidRPr="00F56A18">
        <w:rPr>
          <w:rFonts w:ascii="Arial" w:hAnsi="Arial" w:cs="Arial"/>
        </w:rPr>
        <w:t xml:space="preserve">92  </w:t>
      </w:r>
      <w:r w:rsidR="006867D2">
        <w:rPr>
          <w:rFonts w:ascii="Arial" w:hAnsi="Arial" w:cs="Arial"/>
        </w:rPr>
        <w:tab/>
      </w:r>
      <w:proofErr w:type="gramEnd"/>
      <w:r w:rsidRPr="00F56A18">
        <w:rPr>
          <w:rFonts w:ascii="Arial" w:hAnsi="Arial" w:cs="Arial"/>
        </w:rPr>
        <w:t>26 - 30 Aug 2019     Ljubljana   SI</w:t>
      </w:r>
    </w:p>
    <w:p w:rsidR="00F56A18" w:rsidRPr="00F56A18" w:rsidRDefault="006867D2" w:rsidP="005C7689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RAN4#92</w:t>
      </w:r>
      <w:r>
        <w:rPr>
          <w:rFonts w:ascii="Arial" w:hAnsi="Arial" w:cs="Arial"/>
        </w:rPr>
        <w:t>-</w:t>
      </w:r>
      <w:proofErr w:type="gramStart"/>
      <w:r>
        <w:rPr>
          <w:rFonts w:ascii="Arial" w:hAnsi="Arial" w:cs="Arial"/>
        </w:rPr>
        <w:t>Bis</w:t>
      </w:r>
      <w:r w:rsidRPr="00F56A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proofErr w:type="gramEnd"/>
      <w:r>
        <w:rPr>
          <w:rFonts w:ascii="Arial" w:hAnsi="Arial" w:cs="Arial"/>
        </w:rPr>
        <w:t>14</w:t>
      </w:r>
      <w:r w:rsidRPr="00F56A18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18</w:t>
      </w:r>
      <w:r w:rsidRPr="00F56A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Pr="00F56A18">
        <w:rPr>
          <w:rFonts w:ascii="Arial" w:hAnsi="Arial" w:cs="Arial"/>
        </w:rPr>
        <w:t xml:space="preserve"> 2019     </w:t>
      </w:r>
      <w:r>
        <w:rPr>
          <w:rFonts w:ascii="Arial" w:hAnsi="Arial" w:cs="Arial"/>
        </w:rPr>
        <w:t>TBD, China</w:t>
      </w:r>
      <w:r w:rsidR="00F56A18" w:rsidRPr="00F56A18">
        <w:rPr>
          <w:rFonts w:ascii="Arial" w:hAnsi="Arial" w:cs="Arial"/>
        </w:rPr>
        <w:t xml:space="preserve">   </w:t>
      </w:r>
    </w:p>
    <w:sectPr w:rsidR="00F56A18" w:rsidRPr="00F56A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4813" w:rsidRDefault="00614813">
      <w:r>
        <w:separator/>
      </w:r>
    </w:p>
  </w:endnote>
  <w:endnote w:type="continuationSeparator" w:id="0">
    <w:p w:rsidR="00614813" w:rsidRDefault="00614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4813" w:rsidRDefault="00614813">
      <w:r>
        <w:separator/>
      </w:r>
    </w:p>
  </w:footnote>
  <w:footnote w:type="continuationSeparator" w:id="0">
    <w:p w:rsidR="00614813" w:rsidRDefault="00614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7F5863"/>
    <w:multiLevelType w:val="hybridMultilevel"/>
    <w:tmpl w:val="A260CF60"/>
    <w:lvl w:ilvl="0" w:tplc="2DFC68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C92FA8"/>
    <w:multiLevelType w:val="hybridMultilevel"/>
    <w:tmpl w:val="F3AE03C6"/>
    <w:lvl w:ilvl="0" w:tplc="E4447F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84156F"/>
    <w:multiLevelType w:val="hybridMultilevel"/>
    <w:tmpl w:val="DF42649C"/>
    <w:lvl w:ilvl="0" w:tplc="44B2E43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3E569C"/>
    <w:multiLevelType w:val="hybridMultilevel"/>
    <w:tmpl w:val="E228B832"/>
    <w:lvl w:ilvl="0" w:tplc="BE48624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786748C"/>
    <w:multiLevelType w:val="hybridMultilevel"/>
    <w:tmpl w:val="BE58CE60"/>
    <w:lvl w:ilvl="0" w:tplc="23F01A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12B03"/>
    <w:multiLevelType w:val="hybridMultilevel"/>
    <w:tmpl w:val="5156CBB2"/>
    <w:lvl w:ilvl="0" w:tplc="AB60F674">
      <w:start w:val="1"/>
      <w:numFmt w:val="decimal"/>
      <w:lvlText w:val="%1."/>
      <w:lvlJc w:val="left"/>
      <w:pPr>
        <w:ind w:left="360" w:hanging="360"/>
      </w:p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FAC2662"/>
    <w:multiLevelType w:val="hybridMultilevel"/>
    <w:tmpl w:val="5A62F494"/>
    <w:lvl w:ilvl="0" w:tplc="4ED492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CA4B15"/>
    <w:multiLevelType w:val="hybridMultilevel"/>
    <w:tmpl w:val="E0BC0876"/>
    <w:lvl w:ilvl="0" w:tplc="F1ACE89A">
      <w:start w:val="8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2238A4"/>
    <w:multiLevelType w:val="hybridMultilevel"/>
    <w:tmpl w:val="430CB0EC"/>
    <w:lvl w:ilvl="0" w:tplc="75A002DE">
      <w:start w:val="5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6"/>
  </w:num>
  <w:num w:numId="4">
    <w:abstractNumId w:val="0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8"/>
  </w:num>
  <w:num w:numId="9">
    <w:abstractNumId w:val="9"/>
  </w:num>
  <w:num w:numId="10">
    <w:abstractNumId w:val="8"/>
  </w:num>
  <w:num w:numId="11">
    <w:abstractNumId w:val="5"/>
  </w:num>
  <w:num w:numId="12">
    <w:abstractNumId w:val="20"/>
  </w:num>
  <w:num w:numId="13">
    <w:abstractNumId w:val="7"/>
  </w:num>
  <w:num w:numId="14">
    <w:abstractNumId w:val="13"/>
  </w:num>
  <w:num w:numId="15">
    <w:abstractNumId w:val="14"/>
  </w:num>
  <w:num w:numId="16">
    <w:abstractNumId w:val="12"/>
  </w:num>
  <w:num w:numId="17">
    <w:abstractNumId w:val="7"/>
  </w:num>
  <w:num w:numId="1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0"/>
  </w:num>
  <w:num w:numId="20">
    <w:abstractNumId w:val="4"/>
  </w:num>
  <w:num w:numId="21">
    <w:abstractNumId w:val="2"/>
  </w:num>
  <w:num w:numId="22">
    <w:abstractNumId w:val="19"/>
  </w:num>
  <w:num w:numId="2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76DA"/>
    <w:rsid w:val="0003565A"/>
    <w:rsid w:val="0003719B"/>
    <w:rsid w:val="00045511"/>
    <w:rsid w:val="000C0FC2"/>
    <w:rsid w:val="000D113A"/>
    <w:rsid w:val="000D2FE2"/>
    <w:rsid w:val="000F12FD"/>
    <w:rsid w:val="000F3B46"/>
    <w:rsid w:val="00102364"/>
    <w:rsid w:val="001063EA"/>
    <w:rsid w:val="00133CEB"/>
    <w:rsid w:val="001576BB"/>
    <w:rsid w:val="00177DA3"/>
    <w:rsid w:val="00184B6C"/>
    <w:rsid w:val="00193164"/>
    <w:rsid w:val="001A7080"/>
    <w:rsid w:val="001B008D"/>
    <w:rsid w:val="001D2108"/>
    <w:rsid w:val="001E3D89"/>
    <w:rsid w:val="001F5D39"/>
    <w:rsid w:val="001F6183"/>
    <w:rsid w:val="001F65F1"/>
    <w:rsid w:val="00214CC5"/>
    <w:rsid w:val="00220708"/>
    <w:rsid w:val="00222A4F"/>
    <w:rsid w:val="00227960"/>
    <w:rsid w:val="0024067D"/>
    <w:rsid w:val="00247BE7"/>
    <w:rsid w:val="00250DC0"/>
    <w:rsid w:val="00254238"/>
    <w:rsid w:val="002576F7"/>
    <w:rsid w:val="0026109B"/>
    <w:rsid w:val="00261C7D"/>
    <w:rsid w:val="002633C1"/>
    <w:rsid w:val="00270DF0"/>
    <w:rsid w:val="0027716B"/>
    <w:rsid w:val="00282DA9"/>
    <w:rsid w:val="00283A52"/>
    <w:rsid w:val="00285B2D"/>
    <w:rsid w:val="002934A3"/>
    <w:rsid w:val="002A0310"/>
    <w:rsid w:val="002A542F"/>
    <w:rsid w:val="002A5731"/>
    <w:rsid w:val="002A5F53"/>
    <w:rsid w:val="002A6E4C"/>
    <w:rsid w:val="002B0AED"/>
    <w:rsid w:val="002B1F4E"/>
    <w:rsid w:val="002D095E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18A"/>
    <w:rsid w:val="00335FAB"/>
    <w:rsid w:val="00346D03"/>
    <w:rsid w:val="003632EE"/>
    <w:rsid w:val="00367970"/>
    <w:rsid w:val="003807F6"/>
    <w:rsid w:val="00385529"/>
    <w:rsid w:val="00390712"/>
    <w:rsid w:val="003945F8"/>
    <w:rsid w:val="003946BE"/>
    <w:rsid w:val="003B117D"/>
    <w:rsid w:val="003B23F9"/>
    <w:rsid w:val="003B5D6F"/>
    <w:rsid w:val="003C3065"/>
    <w:rsid w:val="003C44A3"/>
    <w:rsid w:val="003C4B48"/>
    <w:rsid w:val="003D4320"/>
    <w:rsid w:val="003D6650"/>
    <w:rsid w:val="003E0EE0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0752"/>
    <w:rsid w:val="00496D50"/>
    <w:rsid w:val="004A0DBB"/>
    <w:rsid w:val="004A1632"/>
    <w:rsid w:val="004B24AC"/>
    <w:rsid w:val="004B48EC"/>
    <w:rsid w:val="004C6071"/>
    <w:rsid w:val="004C7F8C"/>
    <w:rsid w:val="004D1605"/>
    <w:rsid w:val="004D44EC"/>
    <w:rsid w:val="004E2356"/>
    <w:rsid w:val="004E51A5"/>
    <w:rsid w:val="004E7269"/>
    <w:rsid w:val="004F3AA9"/>
    <w:rsid w:val="004F4C40"/>
    <w:rsid w:val="004F5A2D"/>
    <w:rsid w:val="0050174F"/>
    <w:rsid w:val="00501F64"/>
    <w:rsid w:val="00505F59"/>
    <w:rsid w:val="00506316"/>
    <w:rsid w:val="00520344"/>
    <w:rsid w:val="005219FE"/>
    <w:rsid w:val="00557D6F"/>
    <w:rsid w:val="0056297B"/>
    <w:rsid w:val="00562BE1"/>
    <w:rsid w:val="005667C9"/>
    <w:rsid w:val="00577EFC"/>
    <w:rsid w:val="00586564"/>
    <w:rsid w:val="00586871"/>
    <w:rsid w:val="00591547"/>
    <w:rsid w:val="005921A6"/>
    <w:rsid w:val="00594DA5"/>
    <w:rsid w:val="005A0067"/>
    <w:rsid w:val="005A1E18"/>
    <w:rsid w:val="005B6CAD"/>
    <w:rsid w:val="005C373E"/>
    <w:rsid w:val="005C7689"/>
    <w:rsid w:val="005D1733"/>
    <w:rsid w:val="005D558D"/>
    <w:rsid w:val="005D5906"/>
    <w:rsid w:val="005E5180"/>
    <w:rsid w:val="005E5DB4"/>
    <w:rsid w:val="005E7249"/>
    <w:rsid w:val="005F7506"/>
    <w:rsid w:val="005F7637"/>
    <w:rsid w:val="00614813"/>
    <w:rsid w:val="00615702"/>
    <w:rsid w:val="00633743"/>
    <w:rsid w:val="00642CAC"/>
    <w:rsid w:val="006431E6"/>
    <w:rsid w:val="00646354"/>
    <w:rsid w:val="0065183D"/>
    <w:rsid w:val="0065367D"/>
    <w:rsid w:val="006544E2"/>
    <w:rsid w:val="00656AF0"/>
    <w:rsid w:val="00667F66"/>
    <w:rsid w:val="0067303B"/>
    <w:rsid w:val="00677087"/>
    <w:rsid w:val="006775AB"/>
    <w:rsid w:val="006867D2"/>
    <w:rsid w:val="006A1FAA"/>
    <w:rsid w:val="006A473B"/>
    <w:rsid w:val="006C352D"/>
    <w:rsid w:val="006C70C2"/>
    <w:rsid w:val="006D1114"/>
    <w:rsid w:val="006F213F"/>
    <w:rsid w:val="006F7688"/>
    <w:rsid w:val="00701A2B"/>
    <w:rsid w:val="007139DB"/>
    <w:rsid w:val="00724747"/>
    <w:rsid w:val="00745D0F"/>
    <w:rsid w:val="007822EF"/>
    <w:rsid w:val="00787D60"/>
    <w:rsid w:val="00787EAC"/>
    <w:rsid w:val="007A59E2"/>
    <w:rsid w:val="007A671D"/>
    <w:rsid w:val="007C34B8"/>
    <w:rsid w:val="007D4E17"/>
    <w:rsid w:val="007F293C"/>
    <w:rsid w:val="007F4E4D"/>
    <w:rsid w:val="00806E3A"/>
    <w:rsid w:val="008079EE"/>
    <w:rsid w:val="0084501F"/>
    <w:rsid w:val="00845F63"/>
    <w:rsid w:val="0084604E"/>
    <w:rsid w:val="00850812"/>
    <w:rsid w:val="0085183B"/>
    <w:rsid w:val="0085578D"/>
    <w:rsid w:val="008612CD"/>
    <w:rsid w:val="00865ED7"/>
    <w:rsid w:val="00873297"/>
    <w:rsid w:val="00874ACD"/>
    <w:rsid w:val="00881F64"/>
    <w:rsid w:val="008831D9"/>
    <w:rsid w:val="00883DB4"/>
    <w:rsid w:val="008A49A1"/>
    <w:rsid w:val="008B05ED"/>
    <w:rsid w:val="008B2D1D"/>
    <w:rsid w:val="008C1D20"/>
    <w:rsid w:val="008D1B54"/>
    <w:rsid w:val="008E4594"/>
    <w:rsid w:val="008F358E"/>
    <w:rsid w:val="008F581B"/>
    <w:rsid w:val="00905202"/>
    <w:rsid w:val="00907392"/>
    <w:rsid w:val="00907E41"/>
    <w:rsid w:val="00911F88"/>
    <w:rsid w:val="00912FD3"/>
    <w:rsid w:val="00916145"/>
    <w:rsid w:val="009210E5"/>
    <w:rsid w:val="00923E7C"/>
    <w:rsid w:val="00937312"/>
    <w:rsid w:val="009403B2"/>
    <w:rsid w:val="00941A45"/>
    <w:rsid w:val="00950DE4"/>
    <w:rsid w:val="00952417"/>
    <w:rsid w:val="00954AC7"/>
    <w:rsid w:val="00955602"/>
    <w:rsid w:val="0096221E"/>
    <w:rsid w:val="00973B62"/>
    <w:rsid w:val="009763E4"/>
    <w:rsid w:val="009778A3"/>
    <w:rsid w:val="00984727"/>
    <w:rsid w:val="009A7577"/>
    <w:rsid w:val="009B2EB9"/>
    <w:rsid w:val="009B349D"/>
    <w:rsid w:val="009D594E"/>
    <w:rsid w:val="009E1A4A"/>
    <w:rsid w:val="009E27E2"/>
    <w:rsid w:val="009E5C7E"/>
    <w:rsid w:val="00A02F7F"/>
    <w:rsid w:val="00A1282E"/>
    <w:rsid w:val="00A12ABA"/>
    <w:rsid w:val="00A1443B"/>
    <w:rsid w:val="00A151A0"/>
    <w:rsid w:val="00A245CA"/>
    <w:rsid w:val="00A3454C"/>
    <w:rsid w:val="00A3779B"/>
    <w:rsid w:val="00A40236"/>
    <w:rsid w:val="00A4042C"/>
    <w:rsid w:val="00A45BD7"/>
    <w:rsid w:val="00A50126"/>
    <w:rsid w:val="00A56D45"/>
    <w:rsid w:val="00A56EC8"/>
    <w:rsid w:val="00A57E04"/>
    <w:rsid w:val="00A6412A"/>
    <w:rsid w:val="00A64F79"/>
    <w:rsid w:val="00A65DE1"/>
    <w:rsid w:val="00A70E52"/>
    <w:rsid w:val="00A8524C"/>
    <w:rsid w:val="00AA637B"/>
    <w:rsid w:val="00AC4A54"/>
    <w:rsid w:val="00AC7BBC"/>
    <w:rsid w:val="00AD1DE5"/>
    <w:rsid w:val="00AE5661"/>
    <w:rsid w:val="00AF3FA4"/>
    <w:rsid w:val="00B01ED7"/>
    <w:rsid w:val="00B17F33"/>
    <w:rsid w:val="00B204AF"/>
    <w:rsid w:val="00B255A7"/>
    <w:rsid w:val="00B32530"/>
    <w:rsid w:val="00B33A9B"/>
    <w:rsid w:val="00B544D2"/>
    <w:rsid w:val="00B5648B"/>
    <w:rsid w:val="00B57E03"/>
    <w:rsid w:val="00B66CC7"/>
    <w:rsid w:val="00B70E77"/>
    <w:rsid w:val="00B75AB3"/>
    <w:rsid w:val="00BB01AC"/>
    <w:rsid w:val="00BB0CAD"/>
    <w:rsid w:val="00BD2CD9"/>
    <w:rsid w:val="00BD604A"/>
    <w:rsid w:val="00BE09C0"/>
    <w:rsid w:val="00BE1F84"/>
    <w:rsid w:val="00BE7CC9"/>
    <w:rsid w:val="00BF32CE"/>
    <w:rsid w:val="00C021DE"/>
    <w:rsid w:val="00C231ED"/>
    <w:rsid w:val="00C2354D"/>
    <w:rsid w:val="00C5115E"/>
    <w:rsid w:val="00C51C0C"/>
    <w:rsid w:val="00C52AEB"/>
    <w:rsid w:val="00C64D34"/>
    <w:rsid w:val="00C65DEC"/>
    <w:rsid w:val="00C750D8"/>
    <w:rsid w:val="00CB48E2"/>
    <w:rsid w:val="00CE5D68"/>
    <w:rsid w:val="00D0741F"/>
    <w:rsid w:val="00D07C9C"/>
    <w:rsid w:val="00D20064"/>
    <w:rsid w:val="00D24338"/>
    <w:rsid w:val="00D36977"/>
    <w:rsid w:val="00D40BEF"/>
    <w:rsid w:val="00D412A9"/>
    <w:rsid w:val="00D41AAB"/>
    <w:rsid w:val="00D42DF3"/>
    <w:rsid w:val="00D43AA8"/>
    <w:rsid w:val="00D56C20"/>
    <w:rsid w:val="00D60595"/>
    <w:rsid w:val="00D64D96"/>
    <w:rsid w:val="00D65530"/>
    <w:rsid w:val="00D74A1C"/>
    <w:rsid w:val="00D75660"/>
    <w:rsid w:val="00D876BF"/>
    <w:rsid w:val="00D933BC"/>
    <w:rsid w:val="00DB5B66"/>
    <w:rsid w:val="00DC6C67"/>
    <w:rsid w:val="00DD0809"/>
    <w:rsid w:val="00DD7A43"/>
    <w:rsid w:val="00DE0F87"/>
    <w:rsid w:val="00DE7C20"/>
    <w:rsid w:val="00DF00EE"/>
    <w:rsid w:val="00DF3EFA"/>
    <w:rsid w:val="00DF7F04"/>
    <w:rsid w:val="00E5415D"/>
    <w:rsid w:val="00E55F06"/>
    <w:rsid w:val="00E57BA2"/>
    <w:rsid w:val="00E57BBC"/>
    <w:rsid w:val="00E7017E"/>
    <w:rsid w:val="00E73827"/>
    <w:rsid w:val="00E833F7"/>
    <w:rsid w:val="00E83F3C"/>
    <w:rsid w:val="00EC2503"/>
    <w:rsid w:val="00EC33D7"/>
    <w:rsid w:val="00ED0944"/>
    <w:rsid w:val="00ED133C"/>
    <w:rsid w:val="00ED4B16"/>
    <w:rsid w:val="00EE62A7"/>
    <w:rsid w:val="00F03D9B"/>
    <w:rsid w:val="00F11820"/>
    <w:rsid w:val="00F17587"/>
    <w:rsid w:val="00F23FFC"/>
    <w:rsid w:val="00F54C66"/>
    <w:rsid w:val="00F54DE0"/>
    <w:rsid w:val="00F56A18"/>
    <w:rsid w:val="00F6506E"/>
    <w:rsid w:val="00F73909"/>
    <w:rsid w:val="00F9663B"/>
    <w:rsid w:val="00FD3596"/>
    <w:rsid w:val="00FE014E"/>
    <w:rsid w:val="00FE5864"/>
    <w:rsid w:val="00FE7C70"/>
    <w:rsid w:val="00FF29F4"/>
    <w:rsid w:val="00FF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3AFC60EA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F56A1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6F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576F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6F7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openxmlformats.org/package/2006/metadata/core-properties"/>
    <ds:schemaRef ds:uri="a3840f4f-04be-43d1-b2ef-6ff1382503c7"/>
    <ds:schemaRef ds:uri="http://purl.org/dc/terms/"/>
    <ds:schemaRef ds:uri="83f22d2f-d16e-4be6-ad4f-29fa0b067c3c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purl.org/dc/elements/1.1/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703</Words>
  <Characters>3846</Characters>
  <Application>Microsoft Office Word</Application>
  <DocSecurity>4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Nokia-User</cp:lastModifiedBy>
  <cp:revision>2</cp:revision>
  <cp:lastPrinted>2002-04-23T00:10:00Z</cp:lastPrinted>
  <dcterms:created xsi:type="dcterms:W3CDTF">2019-05-17T18:17:00Z</dcterms:created>
  <dcterms:modified xsi:type="dcterms:W3CDTF">2019-05-17T18:17:00Z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(3)93iaUZujpU3HYgmfZCIXRbYOPezfn7Ugt836dEFBbm1oHpP2jyJYJIzpd+6RX6g2nG1u/LHT
zAGtZXlAnPowT75ztA6f1dkqlUTCXciSy2jxhLUBM8VoCQQRZmhp3eHVW9xOorp6xwRxBOY6
xrMUJva1E7hTKSz8vLLROM+9CuOzrd/QlFQkUwSRMZBQx1VaxRwrez6rSLYKg1C9lOezKl+2
ebT0DGQDnt+b2fRY0c</vt:lpwstr>
  </property>
  <property fmtid="{D5CDD505-2E9C-101B-9397-08002B2CF9AE}" pid="5" name="_2015_ms_pID_7253431">
    <vt:lpwstr>tMh75kWoGuOe3QiIMNVXX/MjAMyN+Qv5w19CuIqqXAieIdkQ/NCWLT
wrnpxN2d1Yh8zRCj6621diDWSvOok3LcVGdctrxb7SAvk7PugaAK7m9JbXRcVfFpDHEHHNRE
vQQ6UUG7zfOLQqqJmGyvWcVfvgKmKZnLDTVnr8BD+QB9HXUYXbNCDIICeaAfGoSGH9B8W8x+
FY4282TsTQ0XEAdW98Qkac859jF/8IoY1I06</vt:lpwstr>
  </property>
  <property fmtid="{D5CDD505-2E9C-101B-9397-08002B2CF9AE}" pid="6" name="_2015_ms_pID_7253432">
    <vt:lpwstr>ecbQraU4babhRYRc6unl+cI=</vt:lpwstr>
  </property>
  <property fmtid="{D5CDD505-2E9C-101B-9397-08002B2CF9AE}" pid="7" name="MSIP_Label_b1aa2129-79ec-42c0-bfac-e5b7a0374572_Enabled">
    <vt:lpwstr>True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toni.h.lahteensuo@nokia.com</vt:lpwstr>
  </property>
  <property fmtid="{D5CDD505-2E9C-101B-9397-08002B2CF9AE}" pid="10" name="MSIP_Label_b1aa2129-79ec-42c0-bfac-e5b7a0374572_SetDate">
    <vt:lpwstr>2019-05-16T06:34:30.1365160Z</vt:lpwstr>
  </property>
  <property fmtid="{D5CDD505-2E9C-101B-9397-08002B2CF9AE}" pid="11" name="MSIP_Label_b1aa2129-79ec-42c0-bfac-e5b7a0374572_Name">
    <vt:lpwstr>Public</vt:lpwstr>
  </property>
  <property fmtid="{D5CDD505-2E9C-101B-9397-08002B2CF9AE}" pid="12" name="MSIP_Label_b1aa2129-79ec-42c0-bfac-e5b7a0374572_Application">
    <vt:lpwstr>Microsoft Azure Information Protection</vt:lpwstr>
  </property>
  <property fmtid="{D5CDD505-2E9C-101B-9397-08002B2CF9AE}" pid="13" name="MSIP_Label_b1aa2129-79ec-42c0-bfac-e5b7a0374572_Extended_MSFT_Method">
    <vt:lpwstr>Manual</vt:lpwstr>
  </property>
  <property fmtid="{D5CDD505-2E9C-101B-9397-08002B2CF9AE}" pid="14" name="Sensitivity">
    <vt:lpwstr>Public</vt:lpwstr>
  </property>
</Properties>
</file>